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56"/>
        <w:tblW w:w="11670" w:type="dxa"/>
        <w:tblLayout w:type="fixed"/>
        <w:tblLook w:val="04A0" w:firstRow="1" w:lastRow="0" w:firstColumn="1" w:lastColumn="0" w:noHBand="0" w:noVBand="1"/>
      </w:tblPr>
      <w:tblGrid>
        <w:gridCol w:w="5670"/>
        <w:gridCol w:w="6000"/>
      </w:tblGrid>
      <w:tr w:rsidR="00CE7581" w:rsidRPr="00F62161" w:rsidTr="00CE7581">
        <w:tc>
          <w:tcPr>
            <w:tcW w:w="11670" w:type="dxa"/>
            <w:gridSpan w:val="2"/>
            <w:tcBorders>
              <w:top w:val="single" w:sz="24" w:space="0" w:color="auto"/>
              <w:left w:val="single" w:sz="24" w:space="0" w:color="auto"/>
              <w:bottom w:val="single" w:sz="4" w:space="0" w:color="auto"/>
              <w:right w:val="single" w:sz="24" w:space="0" w:color="auto"/>
            </w:tcBorders>
            <w:hideMark/>
          </w:tcPr>
          <w:p w:rsidR="00CE7581" w:rsidRPr="00F62161" w:rsidRDefault="00CE7581" w:rsidP="00CE7581">
            <w:pPr>
              <w:jc w:val="center"/>
              <w:rPr>
                <w:color w:val="000000" w:themeColor="text1"/>
                <w:sz w:val="44"/>
              </w:rPr>
            </w:pPr>
            <w:r w:rsidRPr="00F62161">
              <w:rPr>
                <w:color w:val="000000" w:themeColor="text1"/>
                <w:sz w:val="44"/>
              </w:rPr>
              <w:t xml:space="preserve">What is it we expect students to learn?  </w:t>
            </w:r>
          </w:p>
        </w:tc>
      </w:tr>
      <w:tr w:rsidR="00CE7581" w:rsidRPr="00F62161" w:rsidTr="00CE7581">
        <w:tc>
          <w:tcPr>
            <w:tcW w:w="5670" w:type="dxa"/>
            <w:tcBorders>
              <w:top w:val="single" w:sz="4" w:space="0" w:color="auto"/>
              <w:left w:val="single" w:sz="24" w:space="0" w:color="auto"/>
              <w:bottom w:val="single" w:sz="24" w:space="0" w:color="auto"/>
              <w:right w:val="single" w:sz="4" w:space="0" w:color="auto"/>
            </w:tcBorders>
            <w:hideMark/>
          </w:tcPr>
          <w:p w:rsidR="00CE7581" w:rsidRPr="00F62161" w:rsidRDefault="00CE7581" w:rsidP="00CE7581">
            <w:pPr>
              <w:rPr>
                <w:color w:val="000000" w:themeColor="text1"/>
              </w:rPr>
            </w:pPr>
            <w:r w:rsidRPr="00F62161">
              <w:rPr>
                <w:color w:val="000000" w:themeColor="text1"/>
                <w:sz w:val="40"/>
              </w:rPr>
              <w:t xml:space="preserve">Grade: </w:t>
            </w:r>
            <w:r>
              <w:rPr>
                <w:b/>
                <w:color w:val="000000" w:themeColor="text1"/>
                <w:sz w:val="40"/>
              </w:rPr>
              <w:t>3</w:t>
            </w:r>
            <w:r w:rsidRPr="00042341">
              <w:rPr>
                <w:b/>
                <w:color w:val="000000" w:themeColor="text1"/>
                <w:sz w:val="40"/>
                <w:vertAlign w:val="superscript"/>
              </w:rPr>
              <w:t>rd</w:t>
            </w:r>
            <w:r w:rsidRPr="00F62161">
              <w:rPr>
                <w:b/>
                <w:color w:val="000000" w:themeColor="text1"/>
                <w:sz w:val="40"/>
              </w:rPr>
              <w:t xml:space="preserve"> Grade</w:t>
            </w:r>
          </w:p>
        </w:tc>
        <w:tc>
          <w:tcPr>
            <w:tcW w:w="6000" w:type="dxa"/>
            <w:tcBorders>
              <w:top w:val="single" w:sz="4" w:space="0" w:color="auto"/>
              <w:left w:val="single" w:sz="4" w:space="0" w:color="auto"/>
              <w:bottom w:val="single" w:sz="24" w:space="0" w:color="auto"/>
              <w:right w:val="single" w:sz="24" w:space="0" w:color="auto"/>
            </w:tcBorders>
            <w:hideMark/>
          </w:tcPr>
          <w:p w:rsidR="00CE7581" w:rsidRPr="00F62161" w:rsidRDefault="00CE7581" w:rsidP="00CE7581">
            <w:pPr>
              <w:rPr>
                <w:color w:val="000000" w:themeColor="text1"/>
                <w:sz w:val="40"/>
                <w:szCs w:val="40"/>
              </w:rPr>
            </w:pPr>
            <w:r w:rsidRPr="00F62161">
              <w:rPr>
                <w:color w:val="000000" w:themeColor="text1"/>
                <w:sz w:val="40"/>
                <w:szCs w:val="40"/>
              </w:rPr>
              <w:t xml:space="preserve">Subject: </w:t>
            </w:r>
            <w:r w:rsidRPr="00F62161">
              <w:rPr>
                <w:b/>
                <w:color w:val="000000" w:themeColor="text1"/>
                <w:sz w:val="40"/>
                <w:szCs w:val="40"/>
              </w:rPr>
              <w:t>Mathematics</w:t>
            </w:r>
          </w:p>
          <w:p w:rsidR="00CE7581" w:rsidRPr="00F62161" w:rsidRDefault="00CE7581" w:rsidP="00CE7581">
            <w:pPr>
              <w:rPr>
                <w:color w:val="000000" w:themeColor="text1"/>
                <w:sz w:val="44"/>
              </w:rPr>
            </w:pPr>
          </w:p>
        </w:tc>
      </w:tr>
    </w:tbl>
    <w:tbl>
      <w:tblPr>
        <w:tblStyle w:val="TableGrid"/>
        <w:tblW w:w="11700" w:type="dxa"/>
        <w:tblInd w:w="-12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850"/>
        <w:gridCol w:w="5850"/>
      </w:tblGrid>
      <w:tr w:rsidR="00042341" w:rsidTr="00151A4E">
        <w:tc>
          <w:tcPr>
            <w:tcW w:w="5850" w:type="dxa"/>
          </w:tcPr>
          <w:p w:rsidR="00042341" w:rsidRPr="00042341" w:rsidRDefault="00042341">
            <w:pPr>
              <w:rPr>
                <w:u w:val="single"/>
              </w:rPr>
            </w:pPr>
            <w:r w:rsidRPr="00042341">
              <w:rPr>
                <w:u w:val="single"/>
              </w:rPr>
              <w:t xml:space="preserve">First Quarter </w:t>
            </w:r>
          </w:p>
          <w:p w:rsidR="00042341" w:rsidRPr="00EE3DEB" w:rsidRDefault="00042341">
            <w:pPr>
              <w:rPr>
                <w:b/>
              </w:rPr>
            </w:pPr>
            <w:r w:rsidRPr="00EE3DEB">
              <w:rPr>
                <w:b/>
              </w:rPr>
              <w:t xml:space="preserve">Addition and Subtraction </w:t>
            </w:r>
          </w:p>
          <w:p w:rsidR="00042341" w:rsidRDefault="00042341" w:rsidP="00042341"/>
          <w:p w:rsidR="00042341" w:rsidRDefault="00042341" w:rsidP="00042341">
            <w:r w:rsidRPr="007009F3">
              <w:rPr>
                <w:b/>
              </w:rPr>
              <w:t>3.NBT.A.2</w:t>
            </w:r>
            <w:r>
              <w:t xml:space="preserve"> Fluently add and subtract within 1000 using strategies and algorithms based on place value, properties of operations, and/or the relationship between addition and subtraction.</w:t>
            </w:r>
          </w:p>
          <w:p w:rsidR="00042341" w:rsidRDefault="00042341"/>
          <w:p w:rsidR="00042341" w:rsidRPr="00042341" w:rsidRDefault="00042341" w:rsidP="00042341"/>
          <w:p w:rsidR="00042341" w:rsidRPr="00042341" w:rsidRDefault="00042341" w:rsidP="00042341"/>
          <w:p w:rsidR="00042341" w:rsidRDefault="00042341" w:rsidP="00042341"/>
          <w:p w:rsidR="00042341" w:rsidRDefault="00042341" w:rsidP="00042341"/>
          <w:p w:rsidR="00042341" w:rsidRPr="00042341" w:rsidRDefault="00042341" w:rsidP="00042341">
            <w:proofErr w:type="spellStart"/>
            <w:r w:rsidRPr="004969FA">
              <w:rPr>
                <w:u w:val="single"/>
              </w:rPr>
              <w:t>EnVisions</w:t>
            </w:r>
            <w:proofErr w:type="spellEnd"/>
            <w:r>
              <w:t xml:space="preserve"> Topic </w:t>
            </w:r>
            <w:r w:rsidR="007863AE">
              <w:t xml:space="preserve">8, </w:t>
            </w:r>
            <w:r w:rsidR="00EE3DEB">
              <w:t>9</w:t>
            </w:r>
            <w:r w:rsidR="007863AE">
              <w:t>, 1</w:t>
            </w:r>
          </w:p>
        </w:tc>
        <w:tc>
          <w:tcPr>
            <w:tcW w:w="5850" w:type="dxa"/>
          </w:tcPr>
          <w:p w:rsidR="00042341" w:rsidRDefault="00042341">
            <w:pPr>
              <w:rPr>
                <w:u w:val="single"/>
              </w:rPr>
            </w:pPr>
            <w:r w:rsidRPr="00042341">
              <w:rPr>
                <w:u w:val="single"/>
              </w:rPr>
              <w:t xml:space="preserve">Second Quarter </w:t>
            </w:r>
          </w:p>
          <w:p w:rsidR="00042341" w:rsidRDefault="00042341">
            <w:pPr>
              <w:rPr>
                <w:b/>
              </w:rPr>
            </w:pPr>
            <w:r w:rsidRPr="00042341">
              <w:rPr>
                <w:b/>
              </w:rPr>
              <w:t xml:space="preserve">Multiplication and Division </w:t>
            </w:r>
          </w:p>
          <w:p w:rsidR="00042341" w:rsidRPr="00042341" w:rsidRDefault="00042341">
            <w:pPr>
              <w:rPr>
                <w:b/>
              </w:rPr>
            </w:pPr>
          </w:p>
          <w:p w:rsidR="00042341" w:rsidRDefault="00042341" w:rsidP="00042341">
            <w:r w:rsidRPr="00CA39FE">
              <w:rPr>
                <w:b/>
              </w:rPr>
              <w:t>3.OA.C.7</w:t>
            </w:r>
            <w:r>
              <w:t xml:space="preserve"> Fluently multiply and divide within 100, using strategies such as the relationship between multiplication and division (e.g. knowing that 8x5 =40, one knows 40 divided by 5+ 8) or properties of operations. By the end of Grade </w:t>
            </w:r>
            <w:proofErr w:type="gramStart"/>
            <w:r>
              <w:t>3 ,</w:t>
            </w:r>
            <w:proofErr w:type="gramEnd"/>
            <w:r>
              <w:t xml:space="preserve"> know from memory all products of two one-digit numbers.</w:t>
            </w:r>
          </w:p>
          <w:p w:rsidR="00DB2B9E" w:rsidRDefault="00DB2B9E" w:rsidP="00042341">
            <w:pPr>
              <w:rPr>
                <w:b/>
              </w:rPr>
            </w:pPr>
          </w:p>
          <w:p w:rsidR="00042341" w:rsidRDefault="00042341" w:rsidP="00042341">
            <w:r w:rsidRPr="00CA39FE">
              <w:rPr>
                <w:b/>
              </w:rPr>
              <w:t>3.OA.A.3</w:t>
            </w:r>
            <w:r>
              <w:t xml:space="preserve"> Use multiplication and division within 100 to solve word problems in situations involving equal groups, arrays, and measurement quantities. See Table 2.</w:t>
            </w:r>
          </w:p>
          <w:p w:rsidR="00DB2B9E" w:rsidRDefault="00DB2B9E">
            <w:pPr>
              <w:rPr>
                <w:u w:val="single"/>
              </w:rPr>
            </w:pPr>
          </w:p>
          <w:p w:rsidR="00042341" w:rsidRPr="00042341" w:rsidRDefault="00042341">
            <w:proofErr w:type="spellStart"/>
            <w:r w:rsidRPr="004969FA">
              <w:rPr>
                <w:u w:val="single"/>
              </w:rPr>
              <w:t>EnVisions</w:t>
            </w:r>
            <w:proofErr w:type="spellEnd"/>
            <w:r>
              <w:t xml:space="preserve"> Topic</w:t>
            </w:r>
            <w:r w:rsidR="00DB2B9E">
              <w:t xml:space="preserve"> </w:t>
            </w:r>
            <w:r w:rsidR="00447708">
              <w:t>2,3,4,</w:t>
            </w:r>
            <w:r w:rsidR="00DB2B9E">
              <w:t>5</w:t>
            </w:r>
          </w:p>
        </w:tc>
      </w:tr>
      <w:tr w:rsidR="00042341" w:rsidTr="00151A4E">
        <w:tc>
          <w:tcPr>
            <w:tcW w:w="5850" w:type="dxa"/>
          </w:tcPr>
          <w:p w:rsidR="00042341" w:rsidRDefault="00042341">
            <w:pPr>
              <w:rPr>
                <w:u w:val="single"/>
              </w:rPr>
            </w:pPr>
            <w:r w:rsidRPr="00042341">
              <w:rPr>
                <w:u w:val="single"/>
              </w:rPr>
              <w:t xml:space="preserve">Third Quarter </w:t>
            </w:r>
          </w:p>
          <w:p w:rsidR="00042341" w:rsidRPr="00EE3DEB" w:rsidRDefault="00EC7F1C">
            <w:pPr>
              <w:rPr>
                <w:b/>
              </w:rPr>
            </w:pPr>
            <w:r>
              <w:rPr>
                <w:b/>
              </w:rPr>
              <w:t xml:space="preserve">Multiplication/ Division and </w:t>
            </w:r>
            <w:r w:rsidR="00042341" w:rsidRPr="00EE3DEB">
              <w:rPr>
                <w:b/>
              </w:rPr>
              <w:t>Fractions</w:t>
            </w:r>
          </w:p>
          <w:p w:rsidR="00EC7F1C" w:rsidRDefault="00EC7F1C" w:rsidP="00EC7F1C">
            <w:r w:rsidRPr="00CA39FE">
              <w:rPr>
                <w:b/>
              </w:rPr>
              <w:t>3.OA.C.7</w:t>
            </w:r>
            <w:r>
              <w:t xml:space="preserve"> Fluently multiply and divide within 100, using strategies such as the relationship between multiplication and division (e.g. knowing that 8x5 =40, one knows 40 divided by 5+ 8) or properties of operations. By the end of Grade </w:t>
            </w:r>
            <w:proofErr w:type="gramStart"/>
            <w:r>
              <w:t>3 ,</w:t>
            </w:r>
            <w:proofErr w:type="gramEnd"/>
            <w:r>
              <w:t xml:space="preserve"> know from memory all products of two one-digit numbers.</w:t>
            </w:r>
          </w:p>
          <w:p w:rsidR="00EC7F1C" w:rsidRDefault="00EC7F1C" w:rsidP="00EC7F1C">
            <w:pPr>
              <w:rPr>
                <w:b/>
              </w:rPr>
            </w:pPr>
          </w:p>
          <w:p w:rsidR="00EC7F1C" w:rsidRDefault="00EC7F1C" w:rsidP="00EC7F1C">
            <w:r w:rsidRPr="00CA39FE">
              <w:rPr>
                <w:b/>
              </w:rPr>
              <w:t>3.OA.A.3</w:t>
            </w:r>
            <w:r>
              <w:t xml:space="preserve"> Use multiplication and division within 100 to solve word problems in situations involving equal groups, arrays, and measurement quantities. See Table 2.</w:t>
            </w:r>
          </w:p>
          <w:p w:rsidR="00DB2B9E" w:rsidRDefault="00DB2B9E" w:rsidP="007C66E8">
            <w:pPr>
              <w:rPr>
                <w:b/>
              </w:rPr>
            </w:pPr>
          </w:p>
          <w:p w:rsidR="007C66E8" w:rsidRDefault="007C66E8" w:rsidP="007C66E8">
            <w:r w:rsidRPr="007009F3">
              <w:rPr>
                <w:b/>
              </w:rPr>
              <w:t>3.NF.A.3</w:t>
            </w:r>
            <w:r>
              <w:t xml:space="preserve"> Explain equivalence of fractions in special cases, and compare fractions by reasoning about their size. a. Understand two fractions as equivalent if they have the same relative size compared to 1 whole. b. Recognize and generate simple equivalent fractions. Explain why the fractions are equivalent. c. Express whole numbers as fractions, and recognize fractions that are equivalent to whole numbers. d. Compare two fractions with the same numerator or the same denominator by reasoning about their size. Understand that comparisons are valid only when the two fractions refer to the same whole. Record results of comparisons with the symbols &gt;, =, or &lt;.</w:t>
            </w:r>
          </w:p>
          <w:p w:rsidR="00DB2B9E" w:rsidRDefault="00DB2B9E">
            <w:pPr>
              <w:rPr>
                <w:u w:val="single"/>
              </w:rPr>
            </w:pPr>
          </w:p>
          <w:p w:rsidR="00042341" w:rsidRPr="007C66E8" w:rsidRDefault="007C66E8">
            <w:proofErr w:type="spellStart"/>
            <w:r w:rsidRPr="004969FA">
              <w:rPr>
                <w:u w:val="single"/>
              </w:rPr>
              <w:t>En</w:t>
            </w:r>
            <w:r w:rsidR="004969FA" w:rsidRPr="004969FA">
              <w:rPr>
                <w:u w:val="single"/>
              </w:rPr>
              <w:t>V</w:t>
            </w:r>
            <w:r w:rsidRPr="004969FA">
              <w:rPr>
                <w:u w:val="single"/>
              </w:rPr>
              <w:t>isions</w:t>
            </w:r>
            <w:proofErr w:type="spellEnd"/>
            <w:r w:rsidRPr="007C66E8">
              <w:t xml:space="preserve"> </w:t>
            </w:r>
            <w:r>
              <w:t>Topic</w:t>
            </w:r>
            <w:r w:rsidR="00EC7F1C">
              <w:t xml:space="preserve"> 6,</w:t>
            </w:r>
            <w:r w:rsidR="00DB2B9E">
              <w:t>12, 13</w:t>
            </w:r>
          </w:p>
        </w:tc>
        <w:tc>
          <w:tcPr>
            <w:tcW w:w="5850" w:type="dxa"/>
          </w:tcPr>
          <w:p w:rsidR="00042341" w:rsidRDefault="00042341">
            <w:pPr>
              <w:rPr>
                <w:u w:val="single"/>
              </w:rPr>
            </w:pPr>
            <w:r w:rsidRPr="00042341">
              <w:rPr>
                <w:u w:val="single"/>
              </w:rPr>
              <w:t xml:space="preserve">Fourth Quarter </w:t>
            </w:r>
          </w:p>
          <w:p w:rsidR="00042341" w:rsidRPr="00042341" w:rsidRDefault="00042341">
            <w:pPr>
              <w:rPr>
                <w:b/>
              </w:rPr>
            </w:pPr>
            <w:r w:rsidRPr="00042341">
              <w:rPr>
                <w:b/>
              </w:rPr>
              <w:t>Word Problems</w:t>
            </w:r>
          </w:p>
          <w:p w:rsidR="00042341" w:rsidRDefault="00042341"/>
          <w:p w:rsidR="00042341" w:rsidRDefault="00042341" w:rsidP="00042341">
            <w:r w:rsidRPr="00CA39FE">
              <w:rPr>
                <w:b/>
              </w:rPr>
              <w:t>3.OA.A.3</w:t>
            </w:r>
            <w:r>
              <w:t xml:space="preserve"> Use multiplication and division within 100 to solve word problems in situations involving equal groups, arrays, and measurement quantities. See Table 2.</w:t>
            </w:r>
          </w:p>
          <w:p w:rsidR="00042341" w:rsidRDefault="00042341" w:rsidP="00042341">
            <w:r w:rsidRPr="00CA39FE">
              <w:rPr>
                <w:b/>
              </w:rPr>
              <w:t>3.OA.D.8</w:t>
            </w:r>
            <w:r>
              <w:t xml:space="preserve"> Solve two-step word problems using the four operations. Represent these proble</w:t>
            </w:r>
            <w:bookmarkStart w:id="0" w:name="_GoBack"/>
            <w:bookmarkEnd w:id="0"/>
            <w:r>
              <w:t>ms using equations with a letter standing for the unknown quantity. Utilize understanding of the Order of Operations when there are no parentheses.</w:t>
            </w:r>
          </w:p>
          <w:p w:rsidR="00042341" w:rsidRDefault="00042341" w:rsidP="00042341"/>
          <w:p w:rsidR="00042341" w:rsidRDefault="00042341" w:rsidP="00042341"/>
          <w:p w:rsidR="00DB2B9E" w:rsidRDefault="00DB2B9E" w:rsidP="00042341">
            <w:pPr>
              <w:rPr>
                <w:u w:val="single"/>
              </w:rPr>
            </w:pPr>
          </w:p>
          <w:p w:rsidR="00DB2B9E" w:rsidRDefault="00DB2B9E" w:rsidP="00042341">
            <w:pPr>
              <w:rPr>
                <w:u w:val="single"/>
              </w:rPr>
            </w:pPr>
          </w:p>
          <w:p w:rsidR="00042341" w:rsidRPr="00042341" w:rsidRDefault="00042341" w:rsidP="00042341">
            <w:proofErr w:type="spellStart"/>
            <w:r w:rsidRPr="004969FA">
              <w:rPr>
                <w:u w:val="single"/>
              </w:rPr>
              <w:t>En</w:t>
            </w:r>
            <w:r w:rsidR="004969FA" w:rsidRPr="004969FA">
              <w:rPr>
                <w:u w:val="single"/>
              </w:rPr>
              <w:t>V</w:t>
            </w:r>
            <w:r w:rsidRPr="004969FA">
              <w:rPr>
                <w:u w:val="single"/>
              </w:rPr>
              <w:t>ision</w:t>
            </w:r>
            <w:r w:rsidR="004969FA" w:rsidRPr="004969FA">
              <w:rPr>
                <w:u w:val="single"/>
              </w:rPr>
              <w:t>s</w:t>
            </w:r>
            <w:proofErr w:type="spellEnd"/>
            <w:r>
              <w:t xml:space="preserve"> Topic </w:t>
            </w:r>
            <w:r w:rsidR="00DB2B9E">
              <w:t>11</w:t>
            </w:r>
          </w:p>
        </w:tc>
      </w:tr>
    </w:tbl>
    <w:p w:rsidR="00042341" w:rsidRDefault="00042341"/>
    <w:sectPr w:rsidR="000423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870" w:rsidRDefault="002D4870" w:rsidP="007077A2">
      <w:pPr>
        <w:spacing w:after="0" w:line="240" w:lineRule="auto"/>
      </w:pPr>
      <w:r>
        <w:separator/>
      </w:r>
    </w:p>
  </w:endnote>
  <w:endnote w:type="continuationSeparator" w:id="0">
    <w:p w:rsidR="002D4870" w:rsidRDefault="002D4870" w:rsidP="0070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870" w:rsidRDefault="002D4870" w:rsidP="007077A2">
      <w:pPr>
        <w:spacing w:after="0" w:line="240" w:lineRule="auto"/>
      </w:pPr>
      <w:r>
        <w:separator/>
      </w:r>
    </w:p>
  </w:footnote>
  <w:footnote w:type="continuationSeparator" w:id="0">
    <w:p w:rsidR="002D4870" w:rsidRDefault="002D4870" w:rsidP="00707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870" w:rsidRPr="007077A2" w:rsidRDefault="002D4870" w:rsidP="007077A2">
    <w:pPr>
      <w:pStyle w:val="Header"/>
      <w:jc w:val="center"/>
      <w:rPr>
        <w:sz w:val="40"/>
      </w:rPr>
    </w:pPr>
    <w:r w:rsidRPr="007077A2">
      <w:rPr>
        <w:noProof/>
        <w:color w:val="000000" w:themeColor="text1"/>
        <w:sz w:val="52"/>
      </w:rPr>
      <w:drawing>
        <wp:anchor distT="0" distB="0" distL="114300" distR="114300" simplePos="0" relativeHeight="251659264" behindDoc="1" locked="0" layoutInCell="1" allowOverlap="0" wp14:anchorId="62EF29D5" wp14:editId="0C24B0D1">
          <wp:simplePos x="0" y="0"/>
          <wp:positionH relativeFrom="column">
            <wp:posOffset>-205740</wp:posOffset>
          </wp:positionH>
          <wp:positionV relativeFrom="paragraph">
            <wp:posOffset>3810</wp:posOffset>
          </wp:positionV>
          <wp:extent cx="722630" cy="752277"/>
          <wp:effectExtent l="0" t="0" r="1270" b="0"/>
          <wp:wrapThrough wrapText="bothSides">
            <wp:wrapPolygon edited="0">
              <wp:start x="0" y="0"/>
              <wp:lineTo x="0" y="20797"/>
              <wp:lineTo x="21069" y="20797"/>
              <wp:lineTo x="21069" y="0"/>
              <wp:lineTo x="0" y="0"/>
            </wp:wrapPolygon>
          </wp:wrapThrough>
          <wp:docPr id="1" name="Picture 1" descr="d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630" cy="7522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7A2">
      <w:rPr>
        <w:sz w:val="40"/>
      </w:rPr>
      <w:t>Whiteriver Unified School District Essential Standards Quarterly Focus</w:t>
    </w:r>
  </w:p>
  <w:p w:rsidR="002D4870" w:rsidRDefault="002D4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41"/>
    <w:rsid w:val="00042341"/>
    <w:rsid w:val="00151A4E"/>
    <w:rsid w:val="002D4870"/>
    <w:rsid w:val="004054F5"/>
    <w:rsid w:val="00447708"/>
    <w:rsid w:val="004969FA"/>
    <w:rsid w:val="007009F3"/>
    <w:rsid w:val="007077A2"/>
    <w:rsid w:val="007863AE"/>
    <w:rsid w:val="007C66E8"/>
    <w:rsid w:val="00920C03"/>
    <w:rsid w:val="0096096D"/>
    <w:rsid w:val="00A57542"/>
    <w:rsid w:val="00B43A47"/>
    <w:rsid w:val="00CC5EDC"/>
    <w:rsid w:val="00CE7581"/>
    <w:rsid w:val="00DB2B9E"/>
    <w:rsid w:val="00EC7F1C"/>
    <w:rsid w:val="00EE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07E"/>
  <w15:chartTrackingRefBased/>
  <w15:docId w15:val="{78A639C8-3FF8-4948-A3B6-2BB39109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7A2"/>
  </w:style>
  <w:style w:type="paragraph" w:styleId="Footer">
    <w:name w:val="footer"/>
    <w:basedOn w:val="Normal"/>
    <w:link w:val="FooterChar"/>
    <w:uiPriority w:val="99"/>
    <w:unhideWhenUsed/>
    <w:rsid w:val="0070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Warwick</dc:creator>
  <cp:keywords/>
  <dc:description/>
  <cp:lastModifiedBy>Virginia Warwick</cp:lastModifiedBy>
  <cp:revision>2</cp:revision>
  <dcterms:created xsi:type="dcterms:W3CDTF">2022-07-19T22:37:00Z</dcterms:created>
  <dcterms:modified xsi:type="dcterms:W3CDTF">2022-07-19T22:37:00Z</dcterms:modified>
</cp:coreProperties>
</file>